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78" w:rsidRPr="000B2456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0B2456">
        <w:rPr>
          <w:rFonts w:ascii="Melior-Bold" w:hAnsi="Melior-Bold" w:cs="Melior-Bold"/>
          <w:b/>
          <w:bCs/>
          <w:sz w:val="24"/>
          <w:szCs w:val="24"/>
        </w:rPr>
        <w:t>72012</w:t>
      </w:r>
      <w:r w:rsidR="004665EC" w:rsidRPr="000B2456">
        <w:rPr>
          <w:rFonts w:ascii="Melior-Bold" w:hAnsi="Melior-Bold" w:cs="Melior-Bold"/>
          <w:b/>
          <w:bCs/>
          <w:sz w:val="24"/>
          <w:szCs w:val="24"/>
        </w:rPr>
        <w:t>-13</w:t>
      </w:r>
      <w:r w:rsidRPr="000B2456">
        <w:rPr>
          <w:rFonts w:ascii="Melior-Bold" w:hAnsi="Melior-Bold" w:cs="Melior-Bold"/>
          <w:b/>
          <w:bCs/>
          <w:sz w:val="24"/>
          <w:szCs w:val="24"/>
        </w:rPr>
        <w:t xml:space="preserve"> Federal Register </w:t>
      </w:r>
      <w:r w:rsidRPr="000B2456">
        <w:rPr>
          <w:rFonts w:ascii="Melior" w:hAnsi="Melior" w:cs="Melior"/>
          <w:sz w:val="24"/>
          <w:szCs w:val="24"/>
        </w:rPr>
        <w:t>/ Vol. 75, No. 226 / Wednesday, November 24, 2010 / Rules and Regulations</w:t>
      </w:r>
      <w:r w:rsidR="000B2456">
        <w:rPr>
          <w:rFonts w:ascii="Melior" w:hAnsi="Melior" w:cs="Melior"/>
          <w:sz w:val="24"/>
          <w:szCs w:val="24"/>
        </w:rPr>
        <w:t xml:space="preserve">      </w:t>
      </w:r>
      <w:r w:rsidRPr="000B2456">
        <w:rPr>
          <w:rFonts w:ascii="Helvetica-Bold" w:hAnsi="Helvetica-Bold" w:cs="Helvetica-Bold"/>
          <w:b/>
          <w:bCs/>
          <w:sz w:val="24"/>
          <w:szCs w:val="24"/>
        </w:rPr>
        <w:t>[CMS–1504–FC and CMS–1498–IFC2]</w:t>
      </w:r>
    </w:p>
    <w:p w:rsid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0"/>
          <w:szCs w:val="20"/>
        </w:rPr>
      </w:pP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-Italic" w:hAnsi="Melior-Italic" w:cs="Melior-Italic"/>
          <w:iCs/>
          <w:sz w:val="24"/>
          <w:szCs w:val="24"/>
          <w:u w:val="single"/>
        </w:rPr>
        <w:t>Comment:</w:t>
      </w:r>
      <w:r w:rsidRPr="00684678">
        <w:rPr>
          <w:rFonts w:ascii="Melior-Italic" w:hAnsi="Melior-Italic" w:cs="Melior-Italic"/>
          <w:i/>
          <w:iCs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During the past year, we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were often questioned about clinical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requirements for </w:t>
      </w:r>
      <w:r>
        <w:rPr>
          <w:rFonts w:ascii="Melior" w:hAnsi="Melior" w:cs="Melior"/>
          <w:sz w:val="24"/>
          <w:szCs w:val="24"/>
        </w:rPr>
        <w:t>p</w:t>
      </w:r>
      <w:r w:rsidRPr="00684678">
        <w:rPr>
          <w:rFonts w:ascii="Melior" w:hAnsi="Melior" w:cs="Melior"/>
          <w:sz w:val="24"/>
          <w:szCs w:val="24"/>
        </w:rPr>
        <w:t>ractitioners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supervising extremely specialized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services, notably </w:t>
      </w:r>
      <w:r w:rsidRPr="00684678">
        <w:rPr>
          <w:rFonts w:ascii="Melior" w:hAnsi="Melior" w:cs="Melior"/>
          <w:sz w:val="24"/>
          <w:szCs w:val="24"/>
          <w:highlight w:val="yellow"/>
        </w:rPr>
        <w:t>radiation oncology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services. One commenter requested that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CMS consider the direct supervision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requirement to be met for diagnostic or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therapeutic radiation oncology services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if a non-specialist practitioner who can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" w:hAnsi="Melior" w:cs="Melior"/>
          <w:sz w:val="24"/>
          <w:szCs w:val="24"/>
        </w:rPr>
        <w:t>handle an emergency provides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direct supervision and also has access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by phone or other telemedicine link to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a specialist who is able to change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plan of care should the need arise. One</w:t>
      </w:r>
    </w:p>
    <w:p w:rsid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" w:hAnsi="Melior" w:cs="Melior"/>
          <w:sz w:val="24"/>
          <w:szCs w:val="24"/>
        </w:rPr>
        <w:t>commenter asserted that one does not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have to posses the clinical skills to fully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provide a service in order to be an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effective supervisor.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-Italic" w:hAnsi="Melior-Italic" w:cs="Melior-Italic"/>
          <w:iCs/>
          <w:sz w:val="24"/>
          <w:szCs w:val="24"/>
          <w:u w:val="single"/>
        </w:rPr>
        <w:t>Response:</w:t>
      </w:r>
      <w:r w:rsidRPr="00684678">
        <w:rPr>
          <w:rFonts w:ascii="Melior-Italic" w:hAnsi="Melior-Italic" w:cs="Melior-Italic"/>
          <w:i/>
          <w:iCs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As we have stated in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Medicare Benefit Policy Manual (Pub.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No. 100–02), Chapter 6, Section 20.5.24,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NewCenturySchlbk-Roman" w:hAnsi="NewCenturySchlbk-Roman" w:cs="NewCenturySchlbk-Roman"/>
          <w:sz w:val="24"/>
          <w:szCs w:val="24"/>
        </w:rPr>
        <w:t>‘‘</w:t>
      </w:r>
      <w:r w:rsidRPr="00684678">
        <w:rPr>
          <w:rFonts w:ascii="Melior" w:hAnsi="Melior" w:cs="Melior"/>
          <w:sz w:val="24"/>
          <w:szCs w:val="24"/>
        </w:rPr>
        <w:t>the supervisory physician or</w:t>
      </w:r>
      <w:r>
        <w:rPr>
          <w:rFonts w:ascii="Melior" w:hAnsi="Melior" w:cs="Melior"/>
          <w:sz w:val="24"/>
          <w:szCs w:val="24"/>
        </w:rPr>
        <w:t xml:space="preserve"> </w:t>
      </w:r>
      <w:proofErr w:type="spellStart"/>
      <w:r w:rsidRPr="00684678">
        <w:rPr>
          <w:rFonts w:ascii="Melior" w:hAnsi="Melior" w:cs="Melior"/>
          <w:sz w:val="24"/>
          <w:szCs w:val="24"/>
        </w:rPr>
        <w:t>nonphysician</w:t>
      </w:r>
      <w:proofErr w:type="spellEnd"/>
      <w:r w:rsidRPr="00684678">
        <w:rPr>
          <w:rFonts w:ascii="Melior" w:hAnsi="Melior" w:cs="Melior"/>
          <w:sz w:val="24"/>
          <w:szCs w:val="24"/>
        </w:rPr>
        <w:t xml:space="preserve"> practitioner must have,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within his or her State scope of practice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and hospital-granted privileges,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knowledge, skills, ability, and privileges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to perform the service or procedure.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Specially trained ancillary staff and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technicians are the primary operators of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some specialized diagnostic or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therapeutic equipment, and while in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  <w:highlight w:val="yellow"/>
        </w:rPr>
      </w:pPr>
      <w:r w:rsidRPr="00684678">
        <w:rPr>
          <w:rFonts w:ascii="Melior" w:hAnsi="Melior" w:cs="Melior"/>
          <w:sz w:val="24"/>
          <w:szCs w:val="24"/>
        </w:rPr>
        <w:t>such cases CMS does not expect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supervisory practitioner to operate this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equipment instead of a technician, CMS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does expect the physician or</w:t>
      </w:r>
      <w:r>
        <w:rPr>
          <w:rFonts w:ascii="Melior" w:hAnsi="Melior" w:cs="Melior"/>
          <w:sz w:val="24"/>
          <w:szCs w:val="24"/>
        </w:rPr>
        <w:t xml:space="preserve"> </w:t>
      </w:r>
      <w:proofErr w:type="spellStart"/>
      <w:r w:rsidRPr="00684678">
        <w:rPr>
          <w:rFonts w:ascii="Melior" w:hAnsi="Melior" w:cs="Melior"/>
          <w:sz w:val="24"/>
          <w:szCs w:val="24"/>
        </w:rPr>
        <w:t>nonphysician</w:t>
      </w:r>
      <w:proofErr w:type="spellEnd"/>
      <w:r w:rsidRPr="00684678">
        <w:rPr>
          <w:rFonts w:ascii="Melior" w:hAnsi="Melior" w:cs="Melior"/>
          <w:sz w:val="24"/>
          <w:szCs w:val="24"/>
        </w:rPr>
        <w:t xml:space="preserve"> practitioner that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supervises the provision of the service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must be knowledgeable about the test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and clinically appropriate to </w:t>
      </w:r>
      <w:r>
        <w:rPr>
          <w:rFonts w:ascii="Melior" w:hAnsi="Melior" w:cs="Melior"/>
          <w:sz w:val="24"/>
          <w:szCs w:val="24"/>
        </w:rPr>
        <w:t>f</w:t>
      </w:r>
      <w:r w:rsidRPr="00684678">
        <w:rPr>
          <w:rFonts w:ascii="Melior" w:hAnsi="Melior" w:cs="Melior"/>
          <w:sz w:val="24"/>
          <w:szCs w:val="24"/>
        </w:rPr>
        <w:t>urnish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test. </w:t>
      </w:r>
      <w:r w:rsidRPr="00684678">
        <w:rPr>
          <w:rFonts w:ascii="Melior" w:hAnsi="Melior" w:cs="Melior"/>
          <w:sz w:val="24"/>
          <w:szCs w:val="24"/>
          <w:highlight w:val="yellow"/>
        </w:rPr>
        <w:t xml:space="preserve">The supervisory responsibility is more than the capacity to respond to an emergency, and includes furnishing assistance and direction throughout the performance of a procedure and, as appropriate to the supervisory physician or </w:t>
      </w:r>
      <w:proofErr w:type="spellStart"/>
      <w:r w:rsidRPr="00684678">
        <w:rPr>
          <w:rFonts w:ascii="Melior" w:hAnsi="Melior" w:cs="Melior"/>
          <w:sz w:val="24"/>
          <w:szCs w:val="24"/>
          <w:highlight w:val="yellow"/>
        </w:rPr>
        <w:t>nonphysician</w:t>
      </w:r>
      <w:proofErr w:type="spellEnd"/>
      <w:r w:rsidRPr="00684678">
        <w:rPr>
          <w:rFonts w:ascii="Melior" w:hAnsi="Melior" w:cs="Melior"/>
          <w:sz w:val="24"/>
          <w:szCs w:val="24"/>
          <w:highlight w:val="yellow"/>
        </w:rPr>
        <w:t xml:space="preserve"> practitioner and the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proofErr w:type="gramStart"/>
      <w:r w:rsidRPr="00684678">
        <w:rPr>
          <w:rFonts w:ascii="Melior" w:hAnsi="Melior" w:cs="Melior"/>
          <w:sz w:val="24"/>
          <w:szCs w:val="24"/>
          <w:highlight w:val="yellow"/>
        </w:rPr>
        <w:t>patient, to change a procedure or the course of care for a particular patient.</w:t>
      </w:r>
      <w:proofErr w:type="gramEnd"/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CMS would not expect that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supervisory practitioner would make all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decisions unilaterally without informing</w:t>
      </w:r>
    </w:p>
    <w:p w:rsidR="00684678" w:rsidRPr="004665EC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  <w:highlight w:val="yellow"/>
        </w:rPr>
      </w:pPr>
      <w:r w:rsidRPr="00684678">
        <w:rPr>
          <w:rFonts w:ascii="Melior" w:hAnsi="Melior" w:cs="Melior"/>
          <w:sz w:val="24"/>
          <w:szCs w:val="24"/>
        </w:rPr>
        <w:t>or consulting the patient’s treating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physician or </w:t>
      </w:r>
      <w:proofErr w:type="spellStart"/>
      <w:r w:rsidRPr="00684678">
        <w:rPr>
          <w:rFonts w:ascii="Melior" w:hAnsi="Melior" w:cs="Melior"/>
          <w:sz w:val="24"/>
          <w:szCs w:val="24"/>
        </w:rPr>
        <w:t>nonphysician</w:t>
      </w:r>
      <w:proofErr w:type="spellEnd"/>
      <w:r w:rsidRPr="00684678">
        <w:rPr>
          <w:rFonts w:ascii="Melior" w:hAnsi="Melior" w:cs="Melior"/>
          <w:sz w:val="24"/>
          <w:szCs w:val="24"/>
        </w:rPr>
        <w:t xml:space="preserve"> practitioner.</w:t>
      </w:r>
      <w:r w:rsidRPr="00684678">
        <w:rPr>
          <w:rFonts w:ascii="NewCenturySchlbk-Roman" w:hAnsi="NewCenturySchlbk-Roman" w:cs="NewCenturySchlbk-Roman"/>
          <w:sz w:val="24"/>
          <w:szCs w:val="24"/>
        </w:rPr>
        <w:t>’’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  <w:highlight w:val="yellow"/>
        </w:rPr>
        <w:t>We do not believe it is sufficient or consistent with our rules for direct supervision for the individual on site to be capable of only emergency management</w:t>
      </w:r>
      <w:r w:rsidRPr="004665EC">
        <w:rPr>
          <w:rFonts w:ascii="Melior" w:hAnsi="Melior" w:cs="Melior"/>
          <w:sz w:val="24"/>
          <w:szCs w:val="24"/>
          <w:highlight w:val="yellow"/>
        </w:rPr>
        <w:t xml:space="preserve">. The supervisory practitioner or </w:t>
      </w:r>
      <w:proofErr w:type="spellStart"/>
      <w:r w:rsidRPr="004665EC">
        <w:rPr>
          <w:rFonts w:ascii="Melior" w:hAnsi="Melior" w:cs="Melior"/>
          <w:sz w:val="24"/>
          <w:szCs w:val="24"/>
          <w:highlight w:val="yellow"/>
        </w:rPr>
        <w:t>nonphysician</w:t>
      </w:r>
      <w:proofErr w:type="spellEnd"/>
    </w:p>
    <w:p w:rsid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4665EC">
        <w:rPr>
          <w:rFonts w:ascii="Melior" w:hAnsi="Melior" w:cs="Melior"/>
          <w:sz w:val="24"/>
          <w:szCs w:val="24"/>
          <w:highlight w:val="yellow"/>
        </w:rPr>
        <w:t>practitioner wh</w:t>
      </w:r>
      <w:r w:rsidRPr="00684678">
        <w:rPr>
          <w:rFonts w:ascii="Melior" w:hAnsi="Melior" w:cs="Melior"/>
          <w:sz w:val="24"/>
          <w:szCs w:val="24"/>
          <w:highlight w:val="yellow"/>
        </w:rPr>
        <w:t>o is physically present should have the training and knowledge to clinically redirect the service or provide additional orders</w:t>
      </w:r>
      <w:r w:rsidRPr="00684678">
        <w:rPr>
          <w:rFonts w:ascii="Melior" w:hAnsi="Melior" w:cs="Melior"/>
          <w:sz w:val="24"/>
          <w:szCs w:val="24"/>
        </w:rPr>
        <w:t>.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</w:p>
    <w:p w:rsid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-Italic" w:hAnsi="Melior-Italic" w:cs="Melior-Italic"/>
          <w:iCs/>
          <w:sz w:val="24"/>
          <w:szCs w:val="24"/>
          <w:u w:val="single"/>
        </w:rPr>
        <w:t>Comment:</w:t>
      </w:r>
      <w:r w:rsidRPr="00684678">
        <w:rPr>
          <w:rFonts w:ascii="Melior-Italic" w:hAnsi="Melior-Italic" w:cs="Melior-Italic"/>
          <w:i/>
          <w:iCs/>
          <w:sz w:val="24"/>
          <w:szCs w:val="24"/>
        </w:rPr>
        <w:t xml:space="preserve"> </w:t>
      </w:r>
      <w:proofErr w:type="spellStart"/>
      <w:r w:rsidRPr="00684678">
        <w:rPr>
          <w:rFonts w:ascii="Melior" w:hAnsi="Melior" w:cs="Melior"/>
          <w:sz w:val="24"/>
          <w:szCs w:val="24"/>
        </w:rPr>
        <w:t>Commenters</w:t>
      </w:r>
      <w:proofErr w:type="spellEnd"/>
      <w:r w:rsidRPr="00684678">
        <w:rPr>
          <w:rFonts w:ascii="Melior" w:hAnsi="Melior" w:cs="Melior"/>
          <w:sz w:val="24"/>
          <w:szCs w:val="24"/>
        </w:rPr>
        <w:t xml:space="preserve"> remain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concerned about the potential for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liability for services provided prior to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CY 2009. They requested that CMS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prohibit enforcement of the direct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supervision requirements applied to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services furnished since January 1,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2001. They also commented that CMS’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statement regarding enforcement in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CY 2010 final rule with comment period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(74 FR 60587) forces hospitals to assert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and provide supporting evidence that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any divergence from CMS’ rules during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that time period was a result of error or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mistake.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-Italic" w:hAnsi="Melior-Italic" w:cs="Melior-Italic"/>
          <w:iCs/>
          <w:sz w:val="24"/>
          <w:szCs w:val="24"/>
          <w:u w:val="single"/>
        </w:rPr>
        <w:t>Response</w:t>
      </w:r>
      <w:r w:rsidRPr="00684678">
        <w:rPr>
          <w:rFonts w:ascii="Melior-Italic" w:hAnsi="Melior-Italic" w:cs="Melior-Italic"/>
          <w:i/>
          <w:iCs/>
          <w:sz w:val="24"/>
          <w:szCs w:val="24"/>
        </w:rPr>
        <w:t xml:space="preserve">: </w:t>
      </w:r>
      <w:r w:rsidRPr="00684678">
        <w:rPr>
          <w:rFonts w:ascii="Melior" w:hAnsi="Melior" w:cs="Melior"/>
          <w:sz w:val="24"/>
          <w:szCs w:val="24"/>
        </w:rPr>
        <w:t>In the CY 2010 OPPS/ASC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final rule with comment period, we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stated that in the case of services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furnished in 2000 through 2008, </w:t>
      </w:r>
      <w:r w:rsidRPr="00684678">
        <w:rPr>
          <w:rFonts w:ascii="NewCenturySchlbk-Roman" w:hAnsi="NewCenturySchlbk-Roman" w:cs="NewCenturySchlbk-Roman"/>
          <w:sz w:val="24"/>
          <w:szCs w:val="24"/>
        </w:rPr>
        <w:t>‘‘</w:t>
      </w:r>
      <w:r w:rsidRPr="00684678">
        <w:rPr>
          <w:rFonts w:ascii="Melior" w:hAnsi="Melior" w:cs="Melior"/>
          <w:sz w:val="24"/>
          <w:szCs w:val="24"/>
        </w:rPr>
        <w:t>we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plan to exercise our discretion and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decline to enforce in situations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involving claims where the hospital’s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noncompliance with the direct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" w:hAnsi="Melior" w:cs="Melior"/>
          <w:sz w:val="24"/>
          <w:szCs w:val="24"/>
        </w:rPr>
        <w:t>physician supervision policy resulted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from error or mistake.</w:t>
      </w:r>
      <w:r w:rsidRPr="00684678">
        <w:rPr>
          <w:rFonts w:ascii="NewCenturySchlbk-Roman" w:hAnsi="NewCenturySchlbk-Roman" w:cs="NewCenturySchlbk-Roman"/>
          <w:sz w:val="24"/>
          <w:szCs w:val="24"/>
        </w:rPr>
        <w:t xml:space="preserve">’’ </w:t>
      </w:r>
      <w:r w:rsidRPr="00684678">
        <w:rPr>
          <w:rFonts w:ascii="Melior" w:hAnsi="Melior" w:cs="Melior"/>
          <w:sz w:val="24"/>
          <w:szCs w:val="24"/>
        </w:rPr>
        <w:t>(74 FR 60587)</w:t>
      </w:r>
      <w:r>
        <w:rPr>
          <w:rFonts w:ascii="Melior" w:hAnsi="Melior" w:cs="Melior"/>
          <w:sz w:val="24"/>
          <w:szCs w:val="24"/>
        </w:rPr>
        <w:t xml:space="preserve">  </w:t>
      </w:r>
      <w:r w:rsidRPr="00684678">
        <w:rPr>
          <w:rFonts w:ascii="Melior" w:hAnsi="Melior" w:cs="Melior"/>
          <w:sz w:val="24"/>
          <w:szCs w:val="24"/>
        </w:rPr>
        <w:t>In summary, after consideration of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public comments we received, </w:t>
      </w:r>
      <w:r w:rsidRPr="00684678">
        <w:rPr>
          <w:rFonts w:ascii="Melior" w:hAnsi="Melior" w:cs="Melior"/>
          <w:sz w:val="24"/>
          <w:szCs w:val="24"/>
          <w:highlight w:val="yellow"/>
        </w:rPr>
        <w:t>we are maintaining our general requirement for direct supervision of all outpatient therapeutic services</w:t>
      </w:r>
      <w:r w:rsidRPr="00684678">
        <w:rPr>
          <w:rFonts w:ascii="Melior" w:hAnsi="Melior" w:cs="Melior"/>
          <w:sz w:val="24"/>
          <w:szCs w:val="24"/>
        </w:rPr>
        <w:t>. However, we are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redefining our definition of direct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supervision in § 410.27(a)(1)(iv) to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remove all references to physical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  <w:highlight w:val="yellow"/>
        </w:rPr>
      </w:pPr>
      <w:r w:rsidRPr="00684678">
        <w:rPr>
          <w:rFonts w:ascii="Melior" w:hAnsi="Melior" w:cs="Melior"/>
          <w:sz w:val="24"/>
          <w:szCs w:val="24"/>
        </w:rPr>
        <w:t xml:space="preserve">boundaries and </w:t>
      </w:r>
      <w:r w:rsidRPr="00684678">
        <w:rPr>
          <w:rFonts w:ascii="Melior" w:hAnsi="Melior" w:cs="Melior"/>
          <w:sz w:val="24"/>
          <w:szCs w:val="24"/>
          <w:highlight w:val="yellow"/>
        </w:rPr>
        <w:t xml:space="preserve">require only </w:t>
      </w:r>
      <w:r w:rsidRPr="00684678">
        <w:rPr>
          <w:rFonts w:ascii="NewCenturySchlbk-Roman" w:hAnsi="NewCenturySchlbk-Roman" w:cs="NewCenturySchlbk-Roman"/>
          <w:sz w:val="24"/>
          <w:szCs w:val="24"/>
          <w:highlight w:val="yellow"/>
        </w:rPr>
        <w:t>‘‘</w:t>
      </w:r>
      <w:r w:rsidRPr="00684678">
        <w:rPr>
          <w:rFonts w:ascii="Melior" w:hAnsi="Melior" w:cs="Melior"/>
          <w:sz w:val="24"/>
          <w:szCs w:val="24"/>
          <w:highlight w:val="yellow"/>
        </w:rPr>
        <w:t>immediate availability.</w:t>
      </w:r>
      <w:r w:rsidRPr="00684678">
        <w:rPr>
          <w:rFonts w:ascii="NewCenturySchlbk-Roman" w:hAnsi="NewCenturySchlbk-Roman" w:cs="NewCenturySchlbk-Roman"/>
          <w:sz w:val="24"/>
          <w:szCs w:val="24"/>
          <w:highlight w:val="yellow"/>
        </w:rPr>
        <w:t>’’</w:t>
      </w:r>
      <w:r w:rsidRPr="00684678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We are removing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§ 407.27(g), which defines </w:t>
      </w:r>
      <w:r w:rsidRPr="00684678">
        <w:rPr>
          <w:rFonts w:ascii="NewCenturySchlbk-Roman" w:hAnsi="NewCenturySchlbk-Roman" w:cs="NewCenturySchlbk-Roman"/>
          <w:sz w:val="24"/>
          <w:szCs w:val="24"/>
        </w:rPr>
        <w:t>‘‘</w:t>
      </w:r>
      <w:r w:rsidRPr="00684678">
        <w:rPr>
          <w:rFonts w:ascii="Melior" w:hAnsi="Melior" w:cs="Melior"/>
          <w:sz w:val="24"/>
          <w:szCs w:val="24"/>
        </w:rPr>
        <w:t>in the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hospital</w:t>
      </w:r>
      <w:r w:rsidRPr="00684678">
        <w:rPr>
          <w:rFonts w:ascii="NewCenturySchlbk-Roman" w:hAnsi="NewCenturySchlbk-Roman" w:cs="NewCenturySchlbk-Roman"/>
          <w:sz w:val="24"/>
          <w:szCs w:val="24"/>
        </w:rPr>
        <w:t>’’</w:t>
      </w:r>
      <w:r w:rsidRPr="00684678">
        <w:rPr>
          <w:rFonts w:ascii="Melior" w:hAnsi="Melior" w:cs="Melior"/>
          <w:sz w:val="24"/>
          <w:szCs w:val="24"/>
        </w:rPr>
        <w:t>, because it is no longer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necessary. In addition</w:t>
      </w:r>
      <w:r w:rsidRPr="00684678">
        <w:rPr>
          <w:rFonts w:ascii="Melior" w:hAnsi="Melior" w:cs="Melior"/>
          <w:sz w:val="24"/>
          <w:szCs w:val="24"/>
          <w:highlight w:val="yellow"/>
        </w:rPr>
        <w:t>, through CY 2011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  <w:highlight w:val="yellow"/>
        </w:rPr>
      </w:pPr>
      <w:r w:rsidRPr="00684678">
        <w:rPr>
          <w:rFonts w:ascii="Melior" w:hAnsi="Melior" w:cs="Melior"/>
          <w:sz w:val="24"/>
          <w:szCs w:val="24"/>
          <w:highlight w:val="yellow"/>
        </w:rPr>
        <w:lastRenderedPageBreak/>
        <w:t>we will develop an independent review process for annual consideration of requests for alternative service-specific supervision levels, supported by an independent technical committee,</w:t>
      </w:r>
    </w:p>
    <w:p w:rsidR="00684678" w:rsidRPr="00684678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684678">
        <w:rPr>
          <w:rFonts w:ascii="Melior" w:hAnsi="Melior" w:cs="Melior"/>
          <w:sz w:val="24"/>
          <w:szCs w:val="24"/>
          <w:highlight w:val="yellow"/>
        </w:rPr>
        <w:t>potentially the APC Panel.</w:t>
      </w:r>
      <w:r w:rsidRPr="00684678">
        <w:rPr>
          <w:rFonts w:ascii="Melior" w:hAnsi="Melior" w:cs="Melior"/>
          <w:sz w:val="24"/>
          <w:szCs w:val="24"/>
        </w:rPr>
        <w:t xml:space="preserve"> We are</w:t>
      </w:r>
      <w:r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specifically seeking comment on what</w:t>
      </w:r>
      <w:r w:rsidR="004665EC"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the process should look like and the</w:t>
      </w:r>
      <w:r w:rsidR="004665EC"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criteria that should be considered for</w:t>
      </w:r>
      <w:r w:rsidR="004665EC"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>identifying services for which personal,</w:t>
      </w:r>
    </w:p>
    <w:p w:rsidR="00684678" w:rsidRPr="004665EC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  <w:highlight w:val="yellow"/>
        </w:rPr>
      </w:pPr>
      <w:r w:rsidRPr="00684678">
        <w:rPr>
          <w:rFonts w:ascii="Melior" w:hAnsi="Melior" w:cs="Melior"/>
          <w:sz w:val="24"/>
          <w:szCs w:val="24"/>
        </w:rPr>
        <w:t>direct, or general supervision is</w:t>
      </w:r>
      <w:r w:rsidR="004665EC">
        <w:rPr>
          <w:rFonts w:ascii="Melior" w:hAnsi="Melior" w:cs="Melior"/>
          <w:sz w:val="24"/>
          <w:szCs w:val="24"/>
        </w:rPr>
        <w:t xml:space="preserve"> </w:t>
      </w:r>
      <w:r w:rsidRPr="00684678">
        <w:rPr>
          <w:rFonts w:ascii="Melior" w:hAnsi="Melior" w:cs="Melior"/>
          <w:sz w:val="24"/>
          <w:szCs w:val="24"/>
        </w:rPr>
        <w:t xml:space="preserve">appropriate. </w:t>
      </w:r>
      <w:r w:rsidRPr="004665EC">
        <w:rPr>
          <w:rFonts w:ascii="Melior" w:hAnsi="Melior" w:cs="Melior"/>
          <w:sz w:val="24"/>
          <w:szCs w:val="24"/>
          <w:highlight w:val="yellow"/>
        </w:rPr>
        <w:t>We will establish this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 </w:t>
      </w:r>
      <w:r w:rsidRPr="004665EC">
        <w:rPr>
          <w:rFonts w:ascii="Melior" w:hAnsi="Melior" w:cs="Melior"/>
          <w:sz w:val="24"/>
          <w:szCs w:val="24"/>
          <w:highlight w:val="yellow"/>
        </w:rPr>
        <w:t>process in the coming year through the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CY 2012 rulemaking cycle, selecting a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specific independent entity to assist in</w:t>
      </w:r>
    </w:p>
    <w:p w:rsidR="00622D16" w:rsidRDefault="00684678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  <w:r w:rsidRPr="004665EC">
        <w:rPr>
          <w:rFonts w:ascii="Melior" w:hAnsi="Melior" w:cs="Melior"/>
          <w:sz w:val="24"/>
          <w:szCs w:val="24"/>
          <w:highlight w:val="yellow"/>
        </w:rPr>
        <w:t>the process and establishing criteria for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determining that a given service should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be furnished under general or personal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supervision rather than direct</w:t>
      </w:r>
      <w:r w:rsidR="004665EC" w:rsidRPr="004665EC">
        <w:rPr>
          <w:rFonts w:ascii="Melior" w:hAnsi="Melior" w:cs="Melior"/>
          <w:sz w:val="24"/>
          <w:szCs w:val="24"/>
          <w:highlight w:val="yellow"/>
        </w:rPr>
        <w:t xml:space="preserve"> </w:t>
      </w:r>
      <w:r w:rsidRPr="004665EC">
        <w:rPr>
          <w:rFonts w:ascii="Melior" w:hAnsi="Melior" w:cs="Melior"/>
          <w:sz w:val="24"/>
          <w:szCs w:val="24"/>
          <w:highlight w:val="yellow"/>
        </w:rPr>
        <w:t>supervision</w:t>
      </w:r>
      <w:r w:rsidR="00622D16">
        <w:rPr>
          <w:rFonts w:ascii="Melior" w:hAnsi="Melior" w:cs="Melior"/>
          <w:sz w:val="24"/>
          <w:szCs w:val="24"/>
          <w:highlight w:val="yellow"/>
        </w:rPr>
        <w:t>…</w:t>
      </w:r>
      <w:r w:rsidR="00622D16">
        <w:rPr>
          <w:rFonts w:ascii="Melior" w:hAnsi="Melior" w:cs="Melior"/>
          <w:sz w:val="24"/>
          <w:szCs w:val="24"/>
        </w:rPr>
        <w:t>”</w:t>
      </w:r>
    </w:p>
    <w:p w:rsidR="00622D16" w:rsidRDefault="00622D16" w:rsidP="00684678">
      <w:pPr>
        <w:autoSpaceDE w:val="0"/>
        <w:autoSpaceDN w:val="0"/>
        <w:adjustRightInd w:val="0"/>
        <w:rPr>
          <w:rFonts w:ascii="Melior" w:hAnsi="Melior" w:cs="Melior"/>
          <w:sz w:val="24"/>
          <w:szCs w:val="24"/>
        </w:rPr>
      </w:pPr>
    </w:p>
    <w:p w:rsidR="00622D16" w:rsidRDefault="00684678" w:rsidP="00622D16">
      <w:pPr>
        <w:rPr>
          <w:rFonts w:ascii="Calibri" w:hAnsi="Calibri"/>
          <w:color w:val="1F497D"/>
        </w:rPr>
      </w:pPr>
      <w:r w:rsidRPr="00684678">
        <w:rPr>
          <w:rFonts w:ascii="Melior" w:hAnsi="Melior" w:cs="Melior"/>
          <w:sz w:val="24"/>
          <w:szCs w:val="24"/>
        </w:rPr>
        <w:t xml:space="preserve"> </w:t>
      </w:r>
    </w:p>
    <w:p w:rsidR="00622D16" w:rsidRDefault="00622D16" w:rsidP="00622D1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Source: </w:t>
      </w:r>
      <w:hyperlink r:id="rId4" w:history="1">
        <w:r>
          <w:rPr>
            <w:rStyle w:val="Hyperlink"/>
            <w:rFonts w:ascii="Calibri" w:hAnsi="Calibri"/>
          </w:rPr>
          <w:t>http://edocket.access.gpo.gov/2010/pdf/2010-27926.pdf</w:t>
        </w:r>
      </w:hyperlink>
      <w:r>
        <w:rPr>
          <w:rFonts w:ascii="Calibri" w:hAnsi="Calibri"/>
          <w:color w:val="1F497D"/>
        </w:rPr>
        <w:t xml:space="preserve"> </w:t>
      </w:r>
    </w:p>
    <w:p w:rsidR="000B2456" w:rsidRDefault="000B2456" w:rsidP="00622D16">
      <w:pPr>
        <w:rPr>
          <w:rFonts w:ascii="Calibri" w:hAnsi="Calibri"/>
          <w:color w:val="1F497D"/>
        </w:rPr>
      </w:pPr>
    </w:p>
    <w:p w:rsidR="000B2456" w:rsidRPr="000B2456" w:rsidRDefault="000B2456" w:rsidP="00622D16">
      <w:pPr>
        <w:rPr>
          <w:rFonts w:ascii="Calibri" w:hAnsi="Calibri"/>
          <w:color w:val="1F497D"/>
          <w:sz w:val="16"/>
          <w:szCs w:val="16"/>
        </w:rPr>
      </w:pPr>
      <w:r w:rsidRPr="000B2456">
        <w:rPr>
          <w:rFonts w:ascii="Calibri" w:hAnsi="Calibri"/>
          <w:color w:val="1F497D"/>
          <w:sz w:val="16"/>
          <w:szCs w:val="16"/>
        </w:rPr>
        <w:t>Direct Supervision</w:t>
      </w:r>
    </w:p>
    <w:p w:rsidR="004665EC" w:rsidRPr="004665EC" w:rsidRDefault="004665EC" w:rsidP="00622D16">
      <w:pPr>
        <w:autoSpaceDE w:val="0"/>
        <w:autoSpaceDN w:val="0"/>
        <w:adjustRightInd w:val="0"/>
        <w:rPr>
          <w:sz w:val="24"/>
          <w:szCs w:val="24"/>
        </w:rPr>
      </w:pPr>
    </w:p>
    <w:sectPr w:rsidR="004665EC" w:rsidRPr="004665EC" w:rsidSect="0038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678"/>
    <w:rsid w:val="0002291C"/>
    <w:rsid w:val="0004569F"/>
    <w:rsid w:val="000A36D4"/>
    <w:rsid w:val="000B2456"/>
    <w:rsid w:val="00102641"/>
    <w:rsid w:val="003811BE"/>
    <w:rsid w:val="004665EC"/>
    <w:rsid w:val="00477CC8"/>
    <w:rsid w:val="00502631"/>
    <w:rsid w:val="00622D16"/>
    <w:rsid w:val="006614D7"/>
    <w:rsid w:val="00684678"/>
    <w:rsid w:val="007F7A79"/>
    <w:rsid w:val="00870745"/>
    <w:rsid w:val="008F30BE"/>
    <w:rsid w:val="009360C0"/>
    <w:rsid w:val="0096118E"/>
    <w:rsid w:val="00994834"/>
    <w:rsid w:val="009B21F7"/>
    <w:rsid w:val="00B11888"/>
    <w:rsid w:val="00C3268A"/>
    <w:rsid w:val="00E03075"/>
    <w:rsid w:val="00E15219"/>
    <w:rsid w:val="00E570BD"/>
    <w:rsid w:val="00E817D3"/>
    <w:rsid w:val="00E9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D16"/>
    <w:rPr>
      <w:color w:val="1E66A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ocket.access.gpo.gov/2010/pdf/2010-2792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2011-02-04T14:53:00Z</dcterms:created>
  <dcterms:modified xsi:type="dcterms:W3CDTF">2011-02-04T15:46:00Z</dcterms:modified>
</cp:coreProperties>
</file>